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0867" w:rsidRPr="00594886" w:rsidRDefault="00490D9F" w:rsidP="008920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886">
        <w:rPr>
          <w:rFonts w:ascii="Times New Roman" w:hAnsi="Times New Roman" w:cs="Times New Roman"/>
          <w:sz w:val="24"/>
          <w:szCs w:val="24"/>
          <w:u w:val="single"/>
        </w:rPr>
        <w:t>Response paper - week 2</w:t>
      </w:r>
      <w:r w:rsidRPr="00594886">
        <w:rPr>
          <w:rFonts w:ascii="Times New Roman" w:hAnsi="Times New Roman" w:cs="Times New Roman"/>
          <w:sz w:val="24"/>
          <w:szCs w:val="24"/>
          <w:u w:val="single"/>
        </w:rPr>
        <w:t xml:space="preserve"> - by Arthur (Eirich) - ‘Political-Economic readings regarding space’</w:t>
      </w:r>
    </w:p>
    <w:p w:rsidR="00320867" w:rsidRPr="008920E1" w:rsidRDefault="00320867" w:rsidP="00892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867" w:rsidRPr="008920E1" w:rsidRDefault="00490D9F" w:rsidP="008920E1">
      <w:pPr>
        <w:jc w:val="both"/>
        <w:rPr>
          <w:rFonts w:ascii="Times New Roman" w:hAnsi="Times New Roman" w:cs="Times New Roman"/>
          <w:sz w:val="24"/>
          <w:szCs w:val="24"/>
        </w:rPr>
      </w:pPr>
      <w:r w:rsidRPr="008920E1">
        <w:rPr>
          <w:rFonts w:ascii="Times New Roman" w:hAnsi="Times New Roman" w:cs="Times New Roman"/>
          <w:sz w:val="24"/>
          <w:szCs w:val="24"/>
        </w:rPr>
        <w:t xml:space="preserve">Last week, I attempted, amongst others, to point out the relationship between an absolute space - such as a building in Oxford - and state political power (for instance, Lefebvre 1974:51). This week’s response goes a bit further in seeing the relationship </w:t>
      </w:r>
      <w:r w:rsidRPr="008920E1">
        <w:rPr>
          <w:rFonts w:ascii="Times New Roman" w:hAnsi="Times New Roman" w:cs="Times New Roman"/>
          <w:sz w:val="24"/>
          <w:szCs w:val="24"/>
        </w:rPr>
        <w:t>between a space and place, and their connection with the political, economic and social sphere.</w:t>
      </w:r>
      <w:r w:rsidRPr="008920E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9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867" w:rsidRPr="008920E1" w:rsidRDefault="00490D9F" w:rsidP="008920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0E1">
        <w:rPr>
          <w:rFonts w:ascii="Times New Roman" w:hAnsi="Times New Roman" w:cs="Times New Roman"/>
          <w:sz w:val="24"/>
          <w:szCs w:val="24"/>
        </w:rPr>
        <w:t>Harvey emphasises the importance of seeing that both space and place are social constructs (1993: 4), but there seems to be a difference, although one could a</w:t>
      </w:r>
      <w:r w:rsidRPr="008920E1">
        <w:rPr>
          <w:rFonts w:ascii="Times New Roman" w:hAnsi="Times New Roman" w:cs="Times New Roman"/>
          <w:sz w:val="24"/>
          <w:szCs w:val="24"/>
        </w:rPr>
        <w:t xml:space="preserve">rgue that a place is a subdivision from a space. To make it clearer </w:t>
      </w:r>
      <w:r w:rsidR="00CA3121">
        <w:rPr>
          <w:rFonts w:ascii="Times New Roman" w:hAnsi="Times New Roman" w:cs="Times New Roman"/>
          <w:sz w:val="24"/>
          <w:szCs w:val="24"/>
        </w:rPr>
        <w:t>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and</w:t>
      </w:r>
      <w:r w:rsidRPr="008920E1">
        <w:rPr>
          <w:rFonts w:ascii="Times New Roman" w:hAnsi="Times New Roman" w:cs="Times New Roman"/>
          <w:sz w:val="24"/>
          <w:szCs w:val="24"/>
        </w:rPr>
        <w:t xml:space="preserve"> in rela</w:t>
      </w:r>
      <w:r w:rsidR="00CA3121">
        <w:rPr>
          <w:rFonts w:ascii="Times New Roman" w:hAnsi="Times New Roman" w:cs="Times New Roman"/>
          <w:sz w:val="24"/>
          <w:szCs w:val="24"/>
        </w:rPr>
        <w:t>tion to my last week’s response –</w:t>
      </w:r>
      <w:r w:rsidRPr="008920E1">
        <w:rPr>
          <w:rFonts w:ascii="Times New Roman" w:hAnsi="Times New Roman" w:cs="Times New Roman"/>
          <w:sz w:val="24"/>
          <w:szCs w:val="24"/>
        </w:rPr>
        <w:t>, a space seems to be a more abstract concept which can, for instance, be seen in absolute, relative and relational terms (Harvey 2006)</w:t>
      </w:r>
      <w:r w:rsidR="00CA3121">
        <w:rPr>
          <w:rFonts w:ascii="Times New Roman" w:hAnsi="Times New Roman" w:cs="Times New Roman"/>
          <w:sz w:val="24"/>
          <w:szCs w:val="24"/>
        </w:rPr>
        <w:t>,</w:t>
      </w:r>
      <w:r w:rsidRPr="008920E1">
        <w:rPr>
          <w:rFonts w:ascii="Times New Roman" w:hAnsi="Times New Roman" w:cs="Times New Roman"/>
          <w:sz w:val="24"/>
          <w:szCs w:val="24"/>
        </w:rPr>
        <w:t xml:space="preserve"> wherea</w:t>
      </w:r>
      <w:r w:rsidRPr="008920E1">
        <w:rPr>
          <w:rFonts w:ascii="Times New Roman" w:hAnsi="Times New Roman" w:cs="Times New Roman"/>
          <w:sz w:val="24"/>
          <w:szCs w:val="24"/>
        </w:rPr>
        <w:t xml:space="preserve">s a place </w:t>
      </w:r>
      <w:r w:rsidR="00CA3121">
        <w:rPr>
          <w:rFonts w:ascii="Times New Roman" w:hAnsi="Times New Roman" w:cs="Times New Roman"/>
          <w:sz w:val="24"/>
          <w:szCs w:val="24"/>
        </w:rPr>
        <w:t>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not</w:t>
      </w:r>
      <w:r w:rsidR="00CA3121">
        <w:rPr>
          <w:rFonts w:ascii="Times New Roman" w:hAnsi="Times New Roman" w:cs="Times New Roman"/>
          <w:sz w:val="24"/>
          <w:szCs w:val="24"/>
        </w:rPr>
        <w:t xml:space="preserve"> </w:t>
      </w:r>
      <w:r w:rsidRPr="008920E1">
        <w:rPr>
          <w:rFonts w:ascii="Times New Roman" w:hAnsi="Times New Roman" w:cs="Times New Roman"/>
          <w:sz w:val="24"/>
          <w:szCs w:val="24"/>
        </w:rPr>
        <w:t xml:space="preserve">losing its abstract characteristic entirely </w:t>
      </w:r>
      <w:r w:rsidR="00CA3121">
        <w:rPr>
          <w:rFonts w:ascii="Times New Roman" w:hAnsi="Times New Roman" w:cs="Times New Roman"/>
          <w:sz w:val="24"/>
          <w:szCs w:val="24"/>
        </w:rPr>
        <w:t>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seems</w:t>
      </w:r>
      <w:r w:rsidR="00CA3121">
        <w:rPr>
          <w:rFonts w:ascii="Times New Roman" w:hAnsi="Times New Roman" w:cs="Times New Roman"/>
          <w:sz w:val="24"/>
          <w:szCs w:val="24"/>
        </w:rPr>
        <w:t xml:space="preserve"> to be precisely</w:t>
      </w:r>
      <w:r w:rsidRPr="008920E1">
        <w:rPr>
          <w:rFonts w:ascii="Times New Roman" w:hAnsi="Times New Roman" w:cs="Times New Roman"/>
          <w:sz w:val="24"/>
          <w:szCs w:val="24"/>
        </w:rPr>
        <w:t xml:space="preserve"> a space understood in relational terms, namely as a ‘lived experience’ concerned with the individual’s emotions, experiences and imaginations (Lefebvre 1974: 34; Harvey 2006:</w:t>
      </w:r>
      <w:r w:rsidRPr="008920E1">
        <w:rPr>
          <w:rFonts w:ascii="Times New Roman" w:hAnsi="Times New Roman" w:cs="Times New Roman"/>
          <w:sz w:val="24"/>
          <w:szCs w:val="24"/>
        </w:rPr>
        <w:t xml:space="preserve"> 279). The connection between the social, economic and political sphere becomes clear by drawing on the idea that an elitist minority has managed to manipulate and control space </w:t>
      </w:r>
      <w:r w:rsidR="00CA3121" w:rsidRPr="008920E1">
        <w:rPr>
          <w:rFonts w:ascii="Times New Roman" w:hAnsi="Times New Roman" w:cs="Times New Roman"/>
          <w:sz w:val="24"/>
          <w:szCs w:val="24"/>
        </w:rPr>
        <w:t>in a capitalist system</w:t>
      </w:r>
      <w:r w:rsidR="00CA3121">
        <w:rPr>
          <w:rFonts w:ascii="Times New Roman" w:hAnsi="Times New Roman" w:cs="Times New Roman"/>
          <w:sz w:val="24"/>
          <w:szCs w:val="24"/>
        </w:rPr>
        <w:t xml:space="preserve"> </w:t>
      </w:r>
      <w:r w:rsidR="00CA3121" w:rsidRPr="008920E1">
        <w:rPr>
          <w:rFonts w:ascii="Times New Roman" w:hAnsi="Times New Roman" w:cs="Times New Roman"/>
          <w:sz w:val="24"/>
          <w:szCs w:val="24"/>
        </w:rPr>
        <w:t>(Lefebvre 1974: 59, 62)</w:t>
      </w:r>
      <w:r w:rsidR="00CA3121">
        <w:rPr>
          <w:rFonts w:ascii="Times New Roman" w:hAnsi="Times New Roman" w:cs="Times New Roman"/>
          <w:sz w:val="24"/>
          <w:szCs w:val="24"/>
        </w:rPr>
        <w:t>,</w:t>
      </w:r>
      <w:r w:rsidRPr="008920E1">
        <w:rPr>
          <w:rFonts w:ascii="Times New Roman" w:hAnsi="Times New Roman" w:cs="Times New Roman"/>
          <w:sz w:val="24"/>
          <w:szCs w:val="24"/>
        </w:rPr>
        <w:t xml:space="preserve"> as</w:t>
      </w:r>
      <w:r w:rsidRPr="008920E1">
        <w:rPr>
          <w:rFonts w:ascii="Times New Roman" w:hAnsi="Times New Roman" w:cs="Times New Roman"/>
          <w:sz w:val="24"/>
          <w:szCs w:val="24"/>
        </w:rPr>
        <w:t xml:space="preserve"> shown by drawing on the example of a building in Oxford last week</w:t>
      </w:r>
      <w:r w:rsidRPr="008920E1">
        <w:rPr>
          <w:rFonts w:ascii="Times New Roman" w:hAnsi="Times New Roman" w:cs="Times New Roman"/>
          <w:sz w:val="24"/>
          <w:szCs w:val="24"/>
        </w:rPr>
        <w:t xml:space="preserve">.  Moreover, capitalism establishes networks of places by moving surplus from one place to another (Harvey 1993: 5), which brings the </w:t>
      </w:r>
      <w:r w:rsidR="00CA3121">
        <w:rPr>
          <w:rFonts w:ascii="Times New Roman" w:hAnsi="Times New Roman" w:cs="Times New Roman"/>
          <w:sz w:val="24"/>
          <w:szCs w:val="24"/>
        </w:rPr>
        <w:t>idea of an abstract space to lif</w:t>
      </w:r>
      <w:r w:rsidRPr="008920E1">
        <w:rPr>
          <w:rFonts w:ascii="Times New Roman" w:hAnsi="Times New Roman" w:cs="Times New Roman"/>
          <w:sz w:val="24"/>
          <w:szCs w:val="24"/>
        </w:rPr>
        <w:t>e for people at different places.</w:t>
      </w:r>
      <w:r w:rsidRPr="008920E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320867" w:rsidRPr="008920E1" w:rsidRDefault="00490D9F" w:rsidP="008920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0E1">
        <w:rPr>
          <w:rFonts w:ascii="Times New Roman" w:hAnsi="Times New Roman" w:cs="Times New Roman"/>
          <w:sz w:val="24"/>
          <w:szCs w:val="24"/>
        </w:rPr>
        <w:t>Seeing the sl</w:t>
      </w:r>
      <w:r w:rsidRPr="008920E1">
        <w:rPr>
          <w:rFonts w:ascii="Times New Roman" w:hAnsi="Times New Roman" w:cs="Times New Roman"/>
          <w:sz w:val="24"/>
          <w:szCs w:val="24"/>
        </w:rPr>
        <w:t xml:space="preserve">ight difference between space and place and the connection with the political, social and economic sphere, makes it possible, I would argue </w:t>
      </w:r>
      <w:r w:rsidR="00C46E2B">
        <w:rPr>
          <w:rFonts w:ascii="Times New Roman" w:hAnsi="Times New Roman" w:cs="Times New Roman"/>
          <w:sz w:val="24"/>
          <w:szCs w:val="24"/>
        </w:rPr>
        <w:t>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8920E1">
        <w:rPr>
          <w:rFonts w:ascii="Times New Roman" w:hAnsi="Times New Roman" w:cs="Times New Roman"/>
          <w:sz w:val="24"/>
          <w:szCs w:val="24"/>
        </w:rPr>
        <w:t xml:space="preserve">, for instance, Harvey (1993) and Smith (1993) </w:t>
      </w:r>
      <w:r w:rsidR="00C46E2B">
        <w:rPr>
          <w:rFonts w:ascii="Times New Roman" w:hAnsi="Times New Roman" w:cs="Times New Roman"/>
          <w:sz w:val="24"/>
          <w:szCs w:val="24"/>
        </w:rPr>
        <w:t>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to</w:t>
      </w:r>
      <w:r w:rsidRPr="008920E1">
        <w:rPr>
          <w:rFonts w:ascii="Times New Roman" w:hAnsi="Times New Roman" w:cs="Times New Roman"/>
          <w:sz w:val="24"/>
          <w:szCs w:val="24"/>
        </w:rPr>
        <w:t xml:space="preserve"> think about alternatives to capitalism and </w:t>
      </w:r>
      <w:proofErr w:type="spellStart"/>
      <w:r w:rsidRPr="008920E1">
        <w:rPr>
          <w:rFonts w:ascii="Times New Roman" w:hAnsi="Times New Roman" w:cs="Times New Roman"/>
          <w:sz w:val="24"/>
          <w:szCs w:val="24"/>
        </w:rPr>
        <w:t>statism</w:t>
      </w:r>
      <w:proofErr w:type="spellEnd"/>
      <w:r w:rsidRPr="008920E1">
        <w:rPr>
          <w:rFonts w:ascii="Times New Roman" w:hAnsi="Times New Roman" w:cs="Times New Roman"/>
          <w:sz w:val="24"/>
          <w:szCs w:val="24"/>
        </w:rPr>
        <w:t xml:space="preserve"> an</w:t>
      </w:r>
      <w:r w:rsidRPr="008920E1">
        <w:rPr>
          <w:rFonts w:ascii="Times New Roman" w:hAnsi="Times New Roman" w:cs="Times New Roman"/>
          <w:sz w:val="24"/>
          <w:szCs w:val="24"/>
        </w:rPr>
        <w:t>d therefore, change. It is remarkable how Harvey’s argument that ‘working-class movements are [...] generally better at organising in and dominating</w:t>
      </w:r>
      <w:r w:rsidRPr="008920E1">
        <w:rPr>
          <w:rFonts w:ascii="Times New Roman" w:hAnsi="Times New Roman" w:cs="Times New Roman"/>
          <w:i/>
          <w:sz w:val="24"/>
          <w:szCs w:val="24"/>
        </w:rPr>
        <w:t xml:space="preserve"> place </w:t>
      </w:r>
      <w:r w:rsidRPr="008920E1">
        <w:rPr>
          <w:rFonts w:ascii="Times New Roman" w:hAnsi="Times New Roman" w:cs="Times New Roman"/>
          <w:sz w:val="24"/>
          <w:szCs w:val="24"/>
        </w:rPr>
        <w:t>than they are at commanding space’ (</w:t>
      </w:r>
      <w:r w:rsidR="00B627DF">
        <w:rPr>
          <w:rFonts w:ascii="Times New Roman" w:hAnsi="Times New Roman" w:cs="Times New Roman"/>
          <w:sz w:val="24"/>
          <w:szCs w:val="24"/>
        </w:rPr>
        <w:t>1989: 236</w:t>
      </w:r>
      <w:r w:rsidRPr="008920E1">
        <w:rPr>
          <w:rFonts w:ascii="Times New Roman" w:hAnsi="Times New Roman" w:cs="Times New Roman"/>
          <w:sz w:val="24"/>
          <w:szCs w:val="24"/>
        </w:rPr>
        <w:t>, cite</w:t>
      </w:r>
      <w:r w:rsidR="00493AB8">
        <w:rPr>
          <w:rFonts w:ascii="Times New Roman" w:hAnsi="Times New Roman" w:cs="Times New Roman"/>
          <w:sz w:val="24"/>
          <w:szCs w:val="24"/>
        </w:rPr>
        <w:t>d in Smith 1993: 107) reflects d</w:t>
      </w:r>
      <w:r w:rsidRPr="008920E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920E1">
        <w:rPr>
          <w:rFonts w:ascii="Times New Roman" w:hAnsi="Times New Roman" w:cs="Times New Roman"/>
          <w:sz w:val="24"/>
          <w:szCs w:val="24"/>
        </w:rPr>
        <w:t>Certeau’s</w:t>
      </w:r>
      <w:proofErr w:type="spellEnd"/>
      <w:r w:rsidRPr="008920E1">
        <w:rPr>
          <w:rFonts w:ascii="Times New Roman" w:hAnsi="Times New Roman" w:cs="Times New Roman"/>
          <w:sz w:val="24"/>
          <w:szCs w:val="24"/>
        </w:rPr>
        <w:t xml:space="preserve"> idea of str</w:t>
      </w:r>
      <w:r w:rsidRPr="008920E1">
        <w:rPr>
          <w:rFonts w:ascii="Times New Roman" w:hAnsi="Times New Roman" w:cs="Times New Roman"/>
          <w:sz w:val="24"/>
          <w:szCs w:val="24"/>
        </w:rPr>
        <w:t>ategies and tactics (1984: 34-39). Strategy would then be the establishment’s power to construct space and place, while a working-class movement has the opportunity through tactics to redefine a place and then possibly change spaces on a broader scale, too</w:t>
      </w:r>
      <w:r w:rsidRPr="008920E1">
        <w:rPr>
          <w:rFonts w:ascii="Times New Roman" w:hAnsi="Times New Roman" w:cs="Times New Roman"/>
          <w:sz w:val="24"/>
          <w:szCs w:val="24"/>
        </w:rPr>
        <w:t xml:space="preserve">. Redefining place and space might be possible by thinking about scale. As Smith makes it clear there is a dialectic relationship when it comes to scale; it does not only set </w:t>
      </w:r>
      <w:r w:rsidR="00F20790">
        <w:rPr>
          <w:rFonts w:ascii="Times New Roman" w:hAnsi="Times New Roman" w:cs="Times New Roman"/>
          <w:sz w:val="24"/>
          <w:szCs w:val="24"/>
        </w:rPr>
        <w:t xml:space="preserve">– </w:t>
      </w:r>
      <w:r w:rsidRPr="008920E1">
        <w:rPr>
          <w:rFonts w:ascii="Times New Roman" w:hAnsi="Times New Roman" w:cs="Times New Roman"/>
          <w:sz w:val="24"/>
          <w:szCs w:val="24"/>
        </w:rPr>
        <w:t>as</w:t>
      </w:r>
      <w:r w:rsidRPr="008920E1">
        <w:rPr>
          <w:rFonts w:ascii="Times New Roman" w:hAnsi="Times New Roman" w:cs="Times New Roman"/>
          <w:sz w:val="24"/>
          <w:szCs w:val="24"/>
        </w:rPr>
        <w:t xml:space="preserve"> a ‘strategy’, for instance</w:t>
      </w:r>
      <w:r w:rsidR="00F20790">
        <w:rPr>
          <w:rFonts w:ascii="Times New Roman" w:hAnsi="Times New Roman" w:cs="Times New Roman"/>
          <w:sz w:val="24"/>
          <w:szCs w:val="24"/>
        </w:rPr>
        <w:t xml:space="preserve"> 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possible</w:t>
      </w:r>
      <w:r w:rsidRPr="008920E1">
        <w:rPr>
          <w:rFonts w:ascii="Times New Roman" w:hAnsi="Times New Roman" w:cs="Times New Roman"/>
          <w:sz w:val="24"/>
          <w:szCs w:val="24"/>
        </w:rPr>
        <w:t xml:space="preserve"> boundaries and strengthen dominant power</w:t>
      </w:r>
      <w:r w:rsidRPr="008920E1">
        <w:rPr>
          <w:rFonts w:ascii="Times New Roman" w:hAnsi="Times New Roman" w:cs="Times New Roman"/>
          <w:sz w:val="24"/>
          <w:szCs w:val="24"/>
        </w:rPr>
        <w:t xml:space="preserve"> structures, such as  capitalism and patriarchy, but it can, also challenge dominant power structures </w:t>
      </w:r>
      <w:r w:rsidR="00F20790">
        <w:rPr>
          <w:rFonts w:ascii="Times New Roman" w:hAnsi="Times New Roman" w:cs="Times New Roman"/>
          <w:sz w:val="24"/>
          <w:szCs w:val="24"/>
        </w:rPr>
        <w:t>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by</w:t>
      </w:r>
      <w:r w:rsidRPr="008920E1">
        <w:rPr>
          <w:rFonts w:ascii="Times New Roman" w:hAnsi="Times New Roman" w:cs="Times New Roman"/>
          <w:sz w:val="24"/>
          <w:szCs w:val="24"/>
        </w:rPr>
        <w:t xml:space="preserve"> thinking about tactics </w:t>
      </w:r>
      <w:r w:rsidR="00F20790">
        <w:rPr>
          <w:rFonts w:ascii="Times New Roman" w:hAnsi="Times New Roman" w:cs="Times New Roman"/>
          <w:sz w:val="24"/>
          <w:szCs w:val="24"/>
        </w:rPr>
        <w:t>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and</w:t>
      </w:r>
      <w:r w:rsidRPr="008920E1">
        <w:rPr>
          <w:rFonts w:ascii="Times New Roman" w:hAnsi="Times New Roman" w:cs="Times New Roman"/>
          <w:sz w:val="24"/>
          <w:szCs w:val="24"/>
        </w:rPr>
        <w:t xml:space="preserve"> redefine them (1993: 102, 111, 114). It is crucial</w:t>
      </w:r>
      <w:r w:rsidR="00F20790">
        <w:rPr>
          <w:rFonts w:ascii="Times New Roman" w:hAnsi="Times New Roman" w:cs="Times New Roman"/>
          <w:sz w:val="24"/>
          <w:szCs w:val="24"/>
        </w:rPr>
        <w:t>,</w:t>
      </w:r>
      <w:r w:rsidRPr="008920E1">
        <w:rPr>
          <w:rFonts w:ascii="Times New Roman" w:hAnsi="Times New Roman" w:cs="Times New Roman"/>
          <w:sz w:val="24"/>
          <w:szCs w:val="24"/>
        </w:rPr>
        <w:t xml:space="preserve"> therefore</w:t>
      </w:r>
      <w:r w:rsidR="00F20790">
        <w:rPr>
          <w:rFonts w:ascii="Times New Roman" w:hAnsi="Times New Roman" w:cs="Times New Roman"/>
          <w:sz w:val="24"/>
          <w:szCs w:val="24"/>
        </w:rPr>
        <w:t xml:space="preserve">,– </w:t>
      </w:r>
      <w:r w:rsidR="00F20790" w:rsidRPr="008920E1">
        <w:rPr>
          <w:rFonts w:ascii="Times New Roman" w:hAnsi="Times New Roman" w:cs="Times New Roman"/>
          <w:sz w:val="24"/>
          <w:szCs w:val="24"/>
        </w:rPr>
        <w:t>if</w:t>
      </w:r>
      <w:r w:rsidR="00F20790">
        <w:rPr>
          <w:rFonts w:ascii="Times New Roman" w:hAnsi="Times New Roman" w:cs="Times New Roman"/>
          <w:sz w:val="24"/>
          <w:szCs w:val="24"/>
        </w:rPr>
        <w:t xml:space="preserve"> </w:t>
      </w:r>
      <w:r w:rsidR="00F20790" w:rsidRPr="008920E1">
        <w:rPr>
          <w:rFonts w:ascii="Times New Roman" w:hAnsi="Times New Roman" w:cs="Times New Roman"/>
          <w:sz w:val="24"/>
          <w:szCs w:val="24"/>
        </w:rPr>
        <w:t xml:space="preserve"> one desires change</w:t>
      </w:r>
      <w:r w:rsidR="00F20790">
        <w:rPr>
          <w:rFonts w:ascii="Times New Roman" w:hAnsi="Times New Roman" w:cs="Times New Roman"/>
          <w:sz w:val="24"/>
          <w:szCs w:val="24"/>
        </w:rPr>
        <w:t xml:space="preserve"> – </w:t>
      </w:r>
      <w:r w:rsidRPr="008920E1">
        <w:rPr>
          <w:rFonts w:ascii="Times New Roman" w:hAnsi="Times New Roman" w:cs="Times New Roman"/>
          <w:sz w:val="24"/>
          <w:szCs w:val="24"/>
        </w:rPr>
        <w:t>t</w:t>
      </w:r>
      <w:r w:rsidRPr="008920E1">
        <w:rPr>
          <w:rFonts w:ascii="Times New Roman" w:hAnsi="Times New Roman" w:cs="Times New Roman"/>
          <w:sz w:val="24"/>
          <w:szCs w:val="24"/>
        </w:rPr>
        <w:t>o expose connections of capitalist exploitation and stati</w:t>
      </w:r>
      <w:r w:rsidRPr="008920E1">
        <w:rPr>
          <w:rFonts w:ascii="Times New Roman" w:hAnsi="Times New Roman" w:cs="Times New Roman"/>
          <w:sz w:val="24"/>
          <w:szCs w:val="24"/>
        </w:rPr>
        <w:t>st power on a global and local scale in different places in order to develop a language for different scales and radical ways to possibly challenge current power structures, too (see also Smith 1993: 102, 112)</w:t>
      </w:r>
      <w:r w:rsidRPr="00892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867" w:rsidRPr="008920E1" w:rsidRDefault="00490D9F" w:rsidP="008920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0E1">
        <w:rPr>
          <w:rFonts w:ascii="Times New Roman" w:hAnsi="Times New Roman" w:cs="Times New Roman"/>
          <w:sz w:val="24"/>
          <w:szCs w:val="24"/>
        </w:rPr>
        <w:lastRenderedPageBreak/>
        <w:t>One example of challe</w:t>
      </w:r>
      <w:r w:rsidRPr="008920E1">
        <w:rPr>
          <w:rFonts w:ascii="Times New Roman" w:hAnsi="Times New Roman" w:cs="Times New Roman"/>
          <w:sz w:val="24"/>
          <w:szCs w:val="24"/>
        </w:rPr>
        <w:t xml:space="preserve">nging </w:t>
      </w:r>
      <w:proofErr w:type="spellStart"/>
      <w:r w:rsidRPr="008920E1">
        <w:rPr>
          <w:rFonts w:ascii="Times New Roman" w:hAnsi="Times New Roman" w:cs="Times New Roman"/>
          <w:sz w:val="24"/>
          <w:szCs w:val="24"/>
        </w:rPr>
        <w:t>statism</w:t>
      </w:r>
      <w:proofErr w:type="spellEnd"/>
      <w:r w:rsidRPr="008920E1">
        <w:rPr>
          <w:rFonts w:ascii="Times New Roman" w:hAnsi="Times New Roman" w:cs="Times New Roman"/>
          <w:sz w:val="24"/>
          <w:szCs w:val="24"/>
        </w:rPr>
        <w:t xml:space="preserve"> and capitalism by re-imagining a particular place and re-defining relationships at different scales can be seen in </w:t>
      </w:r>
      <w:proofErr w:type="spellStart"/>
      <w:r w:rsidRPr="008920E1">
        <w:rPr>
          <w:rFonts w:ascii="Times New Roman" w:hAnsi="Times New Roman" w:cs="Times New Roman"/>
          <w:sz w:val="24"/>
          <w:szCs w:val="24"/>
        </w:rPr>
        <w:t>Rojava</w:t>
      </w:r>
      <w:proofErr w:type="spellEnd"/>
      <w:r w:rsidRPr="008920E1">
        <w:rPr>
          <w:rFonts w:ascii="Times New Roman" w:hAnsi="Times New Roman" w:cs="Times New Roman"/>
          <w:sz w:val="24"/>
          <w:szCs w:val="24"/>
        </w:rPr>
        <w:t>.</w:t>
      </w:r>
      <w:r w:rsidRPr="008920E1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8920E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920E1">
        <w:rPr>
          <w:rFonts w:ascii="Times New Roman" w:hAnsi="Times New Roman" w:cs="Times New Roman"/>
          <w:sz w:val="24"/>
          <w:szCs w:val="24"/>
        </w:rPr>
        <w:t>Graeber</w:t>
      </w:r>
      <w:proofErr w:type="spellEnd"/>
      <w:r w:rsidRPr="008920E1">
        <w:rPr>
          <w:rFonts w:ascii="Times New Roman" w:hAnsi="Times New Roman" w:cs="Times New Roman"/>
          <w:sz w:val="24"/>
          <w:szCs w:val="24"/>
        </w:rPr>
        <w:t xml:space="preserve"> points out the idea of a social revolution that is anti-statist and anti-capitalist looks in </w:t>
      </w:r>
      <w:proofErr w:type="spellStart"/>
      <w:r w:rsidRPr="008920E1">
        <w:rPr>
          <w:rFonts w:ascii="Times New Roman" w:hAnsi="Times New Roman" w:cs="Times New Roman"/>
          <w:sz w:val="24"/>
          <w:szCs w:val="24"/>
        </w:rPr>
        <w:t>Rojava</w:t>
      </w:r>
      <w:proofErr w:type="spellEnd"/>
      <w:r w:rsidRPr="008920E1">
        <w:rPr>
          <w:rFonts w:ascii="Times New Roman" w:hAnsi="Times New Roman" w:cs="Times New Roman"/>
          <w:sz w:val="24"/>
          <w:szCs w:val="24"/>
        </w:rPr>
        <w:t xml:space="preserve"> as foll</w:t>
      </w:r>
      <w:r w:rsidRPr="008920E1">
        <w:rPr>
          <w:rFonts w:ascii="Times New Roman" w:hAnsi="Times New Roman" w:cs="Times New Roman"/>
          <w:sz w:val="24"/>
          <w:szCs w:val="24"/>
        </w:rPr>
        <w:t>ows: in order to get rid of capitalism, one needs get rid of the state, but you cannot get rid of the state if you do not get rid of patriarchy (2015, 3:52). The different scales become visible by thinking of capitalism in terms</w:t>
      </w:r>
      <w:r w:rsidR="00ED3CBE">
        <w:rPr>
          <w:rFonts w:ascii="Times New Roman" w:hAnsi="Times New Roman" w:cs="Times New Roman"/>
          <w:sz w:val="24"/>
          <w:szCs w:val="24"/>
        </w:rPr>
        <w:t xml:space="preserve"> of</w:t>
      </w:r>
      <w:r w:rsidRPr="008920E1">
        <w:rPr>
          <w:rFonts w:ascii="Times New Roman" w:hAnsi="Times New Roman" w:cs="Times New Roman"/>
          <w:sz w:val="24"/>
          <w:szCs w:val="24"/>
        </w:rPr>
        <w:t xml:space="preserve"> </w:t>
      </w:r>
      <w:r w:rsidR="00ED3CBE">
        <w:rPr>
          <w:rFonts w:ascii="Times New Roman" w:hAnsi="Times New Roman" w:cs="Times New Roman"/>
          <w:sz w:val="24"/>
          <w:szCs w:val="24"/>
        </w:rPr>
        <w:t>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but</w:t>
      </w:r>
      <w:r w:rsidRPr="008920E1">
        <w:rPr>
          <w:rFonts w:ascii="Times New Roman" w:hAnsi="Times New Roman" w:cs="Times New Roman"/>
          <w:sz w:val="24"/>
          <w:szCs w:val="24"/>
        </w:rPr>
        <w:t xml:space="preserve"> not only </w:t>
      </w:r>
      <w:r w:rsidR="00ED3CBE">
        <w:rPr>
          <w:rFonts w:ascii="Times New Roman" w:hAnsi="Times New Roman" w:cs="Times New Roman"/>
          <w:sz w:val="24"/>
          <w:szCs w:val="24"/>
        </w:rPr>
        <w:t xml:space="preserve">– </w:t>
      </w:r>
      <w:r w:rsidRPr="008920E1">
        <w:rPr>
          <w:rFonts w:ascii="Times New Roman" w:hAnsi="Times New Roman" w:cs="Times New Roman"/>
          <w:sz w:val="24"/>
          <w:szCs w:val="24"/>
        </w:rPr>
        <w:t>the glo</w:t>
      </w:r>
      <w:r w:rsidRPr="008920E1">
        <w:rPr>
          <w:rFonts w:ascii="Times New Roman" w:hAnsi="Times New Roman" w:cs="Times New Roman"/>
          <w:sz w:val="24"/>
          <w:szCs w:val="24"/>
        </w:rPr>
        <w:t xml:space="preserve">bal, by thinking of </w:t>
      </w:r>
      <w:proofErr w:type="spellStart"/>
      <w:r w:rsidRPr="008920E1">
        <w:rPr>
          <w:rFonts w:ascii="Times New Roman" w:hAnsi="Times New Roman" w:cs="Times New Roman"/>
          <w:sz w:val="24"/>
          <w:szCs w:val="24"/>
        </w:rPr>
        <w:t>statism</w:t>
      </w:r>
      <w:proofErr w:type="spellEnd"/>
      <w:r w:rsidRPr="008920E1">
        <w:rPr>
          <w:rFonts w:ascii="Times New Roman" w:hAnsi="Times New Roman" w:cs="Times New Roman"/>
          <w:sz w:val="24"/>
          <w:szCs w:val="24"/>
        </w:rPr>
        <w:t xml:space="preserve"> in terms of the national</w:t>
      </w:r>
      <w:r w:rsidR="00ED3CBE">
        <w:rPr>
          <w:rFonts w:ascii="Times New Roman" w:hAnsi="Times New Roman" w:cs="Times New Roman"/>
          <w:sz w:val="24"/>
          <w:szCs w:val="24"/>
        </w:rPr>
        <w:t>,</w:t>
      </w:r>
      <w:r w:rsidRPr="008920E1">
        <w:rPr>
          <w:rFonts w:ascii="Times New Roman" w:hAnsi="Times New Roman" w:cs="Times New Roman"/>
          <w:sz w:val="24"/>
          <w:szCs w:val="24"/>
        </w:rPr>
        <w:t xml:space="preserve"> and by thinking of patriarchy as the local/home (see also Smith 1993: 101, 104-112). Re-imagining and re-defining the different scales by starting with one’s own place and having similar places all aroun</w:t>
      </w:r>
      <w:r w:rsidRPr="008920E1">
        <w:rPr>
          <w:rFonts w:ascii="Times New Roman" w:hAnsi="Times New Roman" w:cs="Times New Roman"/>
          <w:sz w:val="24"/>
          <w:szCs w:val="24"/>
        </w:rPr>
        <w:t xml:space="preserve">d the globe </w:t>
      </w:r>
      <w:r w:rsidR="00ED3CBE">
        <w:rPr>
          <w:rFonts w:ascii="Times New Roman" w:hAnsi="Times New Roman" w:cs="Times New Roman"/>
          <w:sz w:val="24"/>
          <w:szCs w:val="24"/>
        </w:rPr>
        <w:t>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for</w:t>
      </w:r>
      <w:r w:rsidRPr="008920E1">
        <w:rPr>
          <w:rFonts w:ascii="Times New Roman" w:hAnsi="Times New Roman" w:cs="Times New Roman"/>
          <w:sz w:val="24"/>
          <w:szCs w:val="24"/>
        </w:rPr>
        <w:t xml:space="preserve"> instance</w:t>
      </w:r>
      <w:r w:rsidR="00ED3CBE">
        <w:rPr>
          <w:rFonts w:ascii="Times New Roman" w:hAnsi="Times New Roman" w:cs="Times New Roman"/>
          <w:sz w:val="24"/>
          <w:szCs w:val="24"/>
        </w:rPr>
        <w:t>,</w:t>
      </w:r>
      <w:r w:rsidRPr="008920E1">
        <w:rPr>
          <w:rFonts w:ascii="Times New Roman" w:hAnsi="Times New Roman" w:cs="Times New Roman"/>
          <w:sz w:val="24"/>
          <w:szCs w:val="24"/>
        </w:rPr>
        <w:t xml:space="preserve"> by having similar autonomous,  bottom-up but not exclusive communes such as in </w:t>
      </w:r>
      <w:proofErr w:type="spellStart"/>
      <w:r w:rsidRPr="008920E1">
        <w:rPr>
          <w:rFonts w:ascii="Times New Roman" w:hAnsi="Times New Roman" w:cs="Times New Roman"/>
          <w:sz w:val="24"/>
          <w:szCs w:val="24"/>
        </w:rPr>
        <w:t>Rojava</w:t>
      </w:r>
      <w:proofErr w:type="spellEnd"/>
      <w:r w:rsidRPr="008920E1">
        <w:rPr>
          <w:rFonts w:ascii="Times New Roman" w:hAnsi="Times New Roman" w:cs="Times New Roman"/>
          <w:sz w:val="24"/>
          <w:szCs w:val="24"/>
        </w:rPr>
        <w:t xml:space="preserve"> </w:t>
      </w:r>
      <w:r w:rsidR="00ED3CBE">
        <w:rPr>
          <w:rFonts w:ascii="Times New Roman" w:hAnsi="Times New Roman" w:cs="Times New Roman"/>
          <w:sz w:val="24"/>
          <w:szCs w:val="24"/>
        </w:rPr>
        <w:t>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can</w:t>
      </w:r>
      <w:r w:rsidRPr="008920E1">
        <w:rPr>
          <w:rFonts w:ascii="Times New Roman" w:hAnsi="Times New Roman" w:cs="Times New Roman"/>
          <w:sz w:val="24"/>
          <w:szCs w:val="24"/>
        </w:rPr>
        <w:t xml:space="preserve"> be a revolutionised approach to space, place and power, and a genuine approach to the ‘collapse of spatial barriers’.</w:t>
      </w:r>
      <w:r w:rsidRPr="008920E1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89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867" w:rsidRPr="008920E1" w:rsidRDefault="00490D9F" w:rsidP="008920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0E1">
        <w:rPr>
          <w:rFonts w:ascii="Times New Roman" w:hAnsi="Times New Roman" w:cs="Times New Roman"/>
          <w:sz w:val="24"/>
          <w:szCs w:val="24"/>
        </w:rPr>
        <w:t>Limits to this ap</w:t>
      </w:r>
      <w:r w:rsidRPr="008920E1">
        <w:rPr>
          <w:rFonts w:ascii="Times New Roman" w:hAnsi="Times New Roman" w:cs="Times New Roman"/>
          <w:sz w:val="24"/>
          <w:szCs w:val="24"/>
        </w:rPr>
        <w:t>proach can c</w:t>
      </w:r>
      <w:r w:rsidR="00ED3CBE">
        <w:rPr>
          <w:rFonts w:ascii="Times New Roman" w:hAnsi="Times New Roman" w:cs="Times New Roman"/>
          <w:sz w:val="24"/>
          <w:szCs w:val="24"/>
        </w:rPr>
        <w:t>ertainly be seen due to</w:t>
      </w:r>
      <w:r w:rsidRPr="008920E1">
        <w:rPr>
          <w:rFonts w:ascii="Times New Roman" w:hAnsi="Times New Roman" w:cs="Times New Roman"/>
          <w:sz w:val="24"/>
          <w:szCs w:val="24"/>
        </w:rPr>
        <w:t xml:space="preserve"> Marx’s idea of capitalism</w:t>
      </w:r>
      <w:r w:rsidR="00ED3CBE">
        <w:rPr>
          <w:rFonts w:ascii="Times New Roman" w:hAnsi="Times New Roman" w:cs="Times New Roman"/>
          <w:sz w:val="24"/>
          <w:szCs w:val="24"/>
        </w:rPr>
        <w:t xml:space="preserve"> – influencing both, Harvey (1993) and Smith (1993) 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which</w:t>
      </w:r>
      <w:r w:rsidRPr="008920E1">
        <w:rPr>
          <w:rFonts w:ascii="Times New Roman" w:hAnsi="Times New Roman" w:cs="Times New Roman"/>
          <w:sz w:val="24"/>
          <w:szCs w:val="24"/>
        </w:rPr>
        <w:t xml:space="preserve"> is present in statist societies with a ruling class that extracts surplus from</w:t>
      </w:r>
      <w:r w:rsidR="007D272F">
        <w:rPr>
          <w:rFonts w:ascii="Times New Roman" w:hAnsi="Times New Roman" w:cs="Times New Roman"/>
          <w:sz w:val="24"/>
          <w:szCs w:val="24"/>
        </w:rPr>
        <w:t xml:space="preserve"> the working class (</w:t>
      </w:r>
      <w:proofErr w:type="spellStart"/>
      <w:r w:rsidR="007D272F">
        <w:rPr>
          <w:rFonts w:ascii="Times New Roman" w:hAnsi="Times New Roman" w:cs="Times New Roman"/>
          <w:sz w:val="24"/>
          <w:szCs w:val="24"/>
        </w:rPr>
        <w:t>Graeber</w:t>
      </w:r>
      <w:proofErr w:type="spellEnd"/>
      <w:r w:rsidR="007D272F">
        <w:rPr>
          <w:rFonts w:ascii="Times New Roman" w:hAnsi="Times New Roman" w:cs="Times New Roman"/>
          <w:sz w:val="24"/>
          <w:szCs w:val="24"/>
        </w:rPr>
        <w:t xml:space="preserve"> 2001</w:t>
      </w:r>
      <w:r w:rsidRPr="008920E1">
        <w:rPr>
          <w:rFonts w:ascii="Times New Roman" w:hAnsi="Times New Roman" w:cs="Times New Roman"/>
          <w:sz w:val="24"/>
          <w:szCs w:val="24"/>
        </w:rPr>
        <w:t xml:space="preserve">: 24-25). How do we apply </w:t>
      </w:r>
      <w:r w:rsidR="009353AE">
        <w:rPr>
          <w:rFonts w:ascii="Times New Roman" w:hAnsi="Times New Roman" w:cs="Times New Roman"/>
          <w:sz w:val="24"/>
          <w:szCs w:val="24"/>
        </w:rPr>
        <w:t>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if</w:t>
      </w:r>
      <w:r w:rsidRPr="008920E1">
        <w:rPr>
          <w:rFonts w:ascii="Times New Roman" w:hAnsi="Times New Roman" w:cs="Times New Roman"/>
          <w:sz w:val="24"/>
          <w:szCs w:val="24"/>
        </w:rPr>
        <w:t xml:space="preserve"> at all </w:t>
      </w:r>
      <w:r w:rsidR="009353AE">
        <w:rPr>
          <w:rFonts w:ascii="Times New Roman" w:hAnsi="Times New Roman" w:cs="Times New Roman"/>
          <w:sz w:val="24"/>
          <w:szCs w:val="24"/>
        </w:rPr>
        <w:t>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the</w:t>
      </w:r>
      <w:r w:rsidRPr="008920E1">
        <w:rPr>
          <w:rFonts w:ascii="Times New Roman" w:hAnsi="Times New Roman" w:cs="Times New Roman"/>
          <w:sz w:val="24"/>
          <w:szCs w:val="24"/>
        </w:rPr>
        <w:t xml:space="preserve"> concepts of space and pla</w:t>
      </w:r>
      <w:r w:rsidRPr="008920E1">
        <w:rPr>
          <w:rFonts w:ascii="Times New Roman" w:hAnsi="Times New Roman" w:cs="Times New Roman"/>
          <w:sz w:val="24"/>
          <w:szCs w:val="24"/>
        </w:rPr>
        <w:t xml:space="preserve">ce in societies that are already anti-statist, non-capitalist, such as the ones </w:t>
      </w:r>
      <w:r w:rsidR="009353AE">
        <w:rPr>
          <w:rFonts w:ascii="Times New Roman" w:hAnsi="Times New Roman" w:cs="Times New Roman"/>
          <w:sz w:val="24"/>
          <w:szCs w:val="24"/>
        </w:rPr>
        <w:t>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as</w:t>
      </w:r>
      <w:r w:rsidRPr="008920E1">
        <w:rPr>
          <w:rFonts w:ascii="Times New Roman" w:hAnsi="Times New Roman" w:cs="Times New Roman"/>
          <w:sz w:val="24"/>
          <w:szCs w:val="24"/>
        </w:rPr>
        <w:t xml:space="preserve"> I implied last week </w:t>
      </w:r>
      <w:r w:rsidR="009353AE">
        <w:rPr>
          <w:rFonts w:ascii="Times New Roman" w:hAnsi="Times New Roman" w:cs="Times New Roman"/>
          <w:sz w:val="24"/>
          <w:szCs w:val="24"/>
        </w:rPr>
        <w:t>–</w:t>
      </w:r>
      <w:r w:rsidRPr="008920E1">
        <w:rPr>
          <w:rFonts w:ascii="Times New Roman" w:hAnsi="Times New Roman" w:cs="Times New Roman"/>
          <w:sz w:val="24"/>
          <w:szCs w:val="24"/>
        </w:rPr>
        <w:t xml:space="preserve"> described</w:t>
      </w:r>
      <w:bookmarkStart w:id="0" w:name="_GoBack"/>
      <w:bookmarkEnd w:id="0"/>
      <w:r w:rsidRPr="008920E1">
        <w:rPr>
          <w:rFonts w:ascii="Times New Roman" w:hAnsi="Times New Roman" w:cs="Times New Roman"/>
          <w:sz w:val="24"/>
          <w:szCs w:val="24"/>
        </w:rPr>
        <w:t xml:space="preserve"> by Scott (2009) in </w:t>
      </w:r>
      <w:proofErr w:type="spellStart"/>
      <w:r w:rsidRPr="008920E1">
        <w:rPr>
          <w:rFonts w:ascii="Times New Roman" w:hAnsi="Times New Roman" w:cs="Times New Roman"/>
          <w:sz w:val="24"/>
          <w:szCs w:val="24"/>
        </w:rPr>
        <w:t>Zomia</w:t>
      </w:r>
      <w:proofErr w:type="spellEnd"/>
      <w:r w:rsidRPr="008920E1">
        <w:rPr>
          <w:rFonts w:ascii="Times New Roman" w:hAnsi="Times New Roman" w:cs="Times New Roman"/>
          <w:sz w:val="24"/>
          <w:szCs w:val="24"/>
        </w:rPr>
        <w:t>?</w:t>
      </w:r>
    </w:p>
    <w:p w:rsidR="00320867" w:rsidRPr="008920E1" w:rsidRDefault="00320867">
      <w:pPr>
        <w:rPr>
          <w:rFonts w:ascii="Times New Roman" w:hAnsi="Times New Roman" w:cs="Times New Roman"/>
          <w:sz w:val="24"/>
          <w:szCs w:val="24"/>
        </w:rPr>
      </w:pPr>
    </w:p>
    <w:p w:rsidR="00320867" w:rsidRPr="006B55E3" w:rsidRDefault="00490D9F" w:rsidP="006B55E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55E3">
        <w:rPr>
          <w:rFonts w:ascii="Times New Roman" w:eastAsia="Verdana" w:hAnsi="Times New Roman" w:cs="Times New Roman"/>
          <w:b/>
          <w:color w:val="333333"/>
          <w:sz w:val="20"/>
          <w:szCs w:val="20"/>
          <w:highlight w:val="white"/>
        </w:rPr>
        <w:t>Bibliography:</w:t>
      </w:r>
    </w:p>
    <w:p w:rsidR="00901DF0" w:rsidRPr="006B55E3" w:rsidRDefault="00901DF0" w:rsidP="006B55E3">
      <w:pPr>
        <w:spacing w:line="240" w:lineRule="auto"/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</w:pPr>
    </w:p>
    <w:p w:rsidR="00901DF0" w:rsidRPr="006B55E3" w:rsidRDefault="00330435" w:rsidP="006B55E3">
      <w:pPr>
        <w:spacing w:line="240" w:lineRule="auto"/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</w:pPr>
      <w:proofErr w:type="gramStart"/>
      <w:r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>d</w:t>
      </w:r>
      <w:r w:rsidR="00901DF0"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>e</w:t>
      </w:r>
      <w:proofErr w:type="gramEnd"/>
      <w:r w:rsidR="00901DF0"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 xml:space="preserve"> </w:t>
      </w:r>
      <w:proofErr w:type="spellStart"/>
      <w:r w:rsidR="00901DF0"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>Certeau</w:t>
      </w:r>
      <w:proofErr w:type="spellEnd"/>
      <w:r w:rsidR="00901DF0"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>,</w:t>
      </w:r>
      <w:r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 xml:space="preserve"> M. 1984: </w:t>
      </w:r>
      <w:r w:rsidRPr="00E906B6">
        <w:rPr>
          <w:rFonts w:ascii="Times New Roman" w:eastAsia="Verdana" w:hAnsi="Times New Roman" w:cs="Times New Roman"/>
          <w:i/>
          <w:color w:val="333333"/>
          <w:sz w:val="20"/>
          <w:szCs w:val="20"/>
          <w:highlight w:val="white"/>
        </w:rPr>
        <w:t>The Practice of Everyday Life</w:t>
      </w:r>
      <w:r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 xml:space="preserve">. </w:t>
      </w:r>
      <w:r w:rsidR="00493AB8"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>Berkley: University of California Press</w:t>
      </w:r>
    </w:p>
    <w:p w:rsidR="00901DF0" w:rsidRPr="006B55E3" w:rsidRDefault="00901DF0" w:rsidP="006B55E3">
      <w:pPr>
        <w:spacing w:line="240" w:lineRule="auto"/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</w:pPr>
    </w:p>
    <w:p w:rsidR="00901DF0" w:rsidRPr="006B55E3" w:rsidRDefault="007D272F" w:rsidP="006B55E3">
      <w:pPr>
        <w:spacing w:line="240" w:lineRule="auto"/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</w:pPr>
      <w:proofErr w:type="spellStart"/>
      <w:r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>Graeber</w:t>
      </w:r>
      <w:proofErr w:type="spellEnd"/>
      <w:r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>, D. 2001</w:t>
      </w:r>
      <w:r w:rsidR="00901DF0"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 xml:space="preserve">: </w:t>
      </w:r>
      <w:r w:rsidRPr="006B55E3">
        <w:rPr>
          <w:rFonts w:ascii="Times New Roman" w:eastAsia="Verdana" w:hAnsi="Times New Roman" w:cs="Times New Roman"/>
          <w:i/>
          <w:color w:val="333333"/>
          <w:sz w:val="20"/>
          <w:szCs w:val="20"/>
          <w:highlight w:val="white"/>
        </w:rPr>
        <w:t xml:space="preserve">Toward </w:t>
      </w:r>
      <w:proofErr w:type="gramStart"/>
      <w:r w:rsidRPr="006B55E3">
        <w:rPr>
          <w:rFonts w:ascii="Times New Roman" w:eastAsia="Verdana" w:hAnsi="Times New Roman" w:cs="Times New Roman"/>
          <w:i/>
          <w:color w:val="333333"/>
          <w:sz w:val="20"/>
          <w:szCs w:val="20"/>
          <w:highlight w:val="white"/>
        </w:rPr>
        <w:t>An</w:t>
      </w:r>
      <w:proofErr w:type="gramEnd"/>
      <w:r w:rsidRPr="006B55E3">
        <w:rPr>
          <w:rFonts w:ascii="Times New Roman" w:eastAsia="Verdana" w:hAnsi="Times New Roman" w:cs="Times New Roman"/>
          <w:i/>
          <w:color w:val="333333"/>
          <w:sz w:val="20"/>
          <w:szCs w:val="20"/>
          <w:highlight w:val="white"/>
        </w:rPr>
        <w:t xml:space="preserve"> Anthropological Theory of Value. The False Coin of Our Own Dreams</w:t>
      </w:r>
      <w:r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>. New York: Palgrave</w:t>
      </w:r>
    </w:p>
    <w:p w:rsidR="00901DF0" w:rsidRPr="006B55E3" w:rsidRDefault="00901DF0" w:rsidP="006B55E3">
      <w:pPr>
        <w:spacing w:line="240" w:lineRule="auto"/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</w:pPr>
    </w:p>
    <w:p w:rsidR="00901DF0" w:rsidRPr="006B55E3" w:rsidRDefault="00901DF0" w:rsidP="006B55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>Graeber</w:t>
      </w:r>
      <w:proofErr w:type="spellEnd"/>
      <w:r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 xml:space="preserve">, D. 2015: </w:t>
      </w:r>
      <w:r w:rsidRPr="006B55E3">
        <w:rPr>
          <w:rFonts w:ascii="Times New Roman" w:hAnsi="Times New Roman" w:cs="Times New Roman"/>
          <w:i/>
          <w:color w:val="222222"/>
          <w:sz w:val="20"/>
          <w:szCs w:val="20"/>
          <w:highlight w:val="white"/>
        </w:rPr>
        <w:t xml:space="preserve">David </w:t>
      </w:r>
      <w:proofErr w:type="spellStart"/>
      <w:r w:rsidRPr="006B55E3">
        <w:rPr>
          <w:rFonts w:ascii="Times New Roman" w:hAnsi="Times New Roman" w:cs="Times New Roman"/>
          <w:i/>
          <w:color w:val="222222"/>
          <w:sz w:val="20"/>
          <w:szCs w:val="20"/>
          <w:highlight w:val="white"/>
        </w:rPr>
        <w:t>Graeber</w:t>
      </w:r>
      <w:proofErr w:type="spellEnd"/>
      <w:r w:rsidRPr="006B55E3">
        <w:rPr>
          <w:rFonts w:ascii="Times New Roman" w:hAnsi="Times New Roman" w:cs="Times New Roman"/>
          <w:i/>
          <w:color w:val="222222"/>
          <w:sz w:val="20"/>
          <w:szCs w:val="20"/>
          <w:highlight w:val="white"/>
        </w:rPr>
        <w:t xml:space="preserve"> on </w:t>
      </w:r>
      <w:proofErr w:type="spellStart"/>
      <w:r w:rsidRPr="006B55E3">
        <w:rPr>
          <w:rFonts w:ascii="Times New Roman" w:hAnsi="Times New Roman" w:cs="Times New Roman"/>
          <w:i/>
          <w:color w:val="222222"/>
          <w:sz w:val="20"/>
          <w:szCs w:val="20"/>
          <w:highlight w:val="white"/>
        </w:rPr>
        <w:t>Rojava</w:t>
      </w:r>
      <w:proofErr w:type="spellEnd"/>
      <w:r w:rsidRPr="006B55E3">
        <w:rPr>
          <w:rFonts w:ascii="Times New Roman" w:hAnsi="Times New Roman" w:cs="Times New Roman"/>
          <w:i/>
          <w:color w:val="222222"/>
          <w:sz w:val="20"/>
          <w:szCs w:val="20"/>
          <w:highlight w:val="white"/>
        </w:rPr>
        <w:t xml:space="preserve"> social revolution</w:t>
      </w:r>
      <w:r w:rsidR="007D272F" w:rsidRPr="006B55E3">
        <w:rPr>
          <w:rFonts w:ascii="Times New Roman" w:hAnsi="Times New Roman" w:cs="Times New Roman"/>
          <w:sz w:val="20"/>
          <w:szCs w:val="20"/>
        </w:rPr>
        <w:t xml:space="preserve"> [Video file]. Retrieved from:</w:t>
      </w:r>
    </w:p>
    <w:p w:rsidR="007D272F" w:rsidRPr="006B55E3" w:rsidRDefault="007D272F" w:rsidP="006B55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6B55E3">
          <w:rPr>
            <w:rStyle w:val="Hyperlink"/>
            <w:rFonts w:ascii="Times New Roman" w:eastAsia="Verdana" w:hAnsi="Times New Roman" w:cs="Times New Roman"/>
            <w:sz w:val="20"/>
            <w:szCs w:val="20"/>
            <w:highlight w:val="white"/>
          </w:rPr>
          <w:t>https://www.youtube.com/watch?v=dWgPW</w:t>
        </w:r>
        <w:r w:rsidRPr="006B55E3">
          <w:rPr>
            <w:rStyle w:val="Hyperlink"/>
            <w:rFonts w:ascii="Times New Roman" w:eastAsia="Verdana" w:hAnsi="Times New Roman" w:cs="Times New Roman"/>
            <w:sz w:val="20"/>
            <w:szCs w:val="20"/>
            <w:highlight w:val="white"/>
          </w:rPr>
          <w:t>L7hT7M</w:t>
        </w:r>
      </w:hyperlink>
      <w:r w:rsidRPr="006B55E3">
        <w:rPr>
          <w:rFonts w:ascii="Times New Roman" w:hAnsi="Times New Roman" w:cs="Times New Roman"/>
          <w:sz w:val="20"/>
          <w:szCs w:val="20"/>
        </w:rPr>
        <w:t xml:space="preserve"> (last access: 24/01/2016</w:t>
      </w:r>
      <w:r w:rsidRPr="006B55E3">
        <w:rPr>
          <w:rFonts w:ascii="Times New Roman" w:hAnsi="Times New Roman" w:cs="Times New Roman"/>
          <w:sz w:val="20"/>
          <w:szCs w:val="20"/>
        </w:rPr>
        <w:t>)</w:t>
      </w:r>
    </w:p>
    <w:p w:rsidR="00320867" w:rsidRPr="006B55E3" w:rsidRDefault="00320867" w:rsidP="006B55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01DF0" w:rsidRPr="006B55E3" w:rsidRDefault="00901DF0" w:rsidP="006B55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B55E3">
        <w:rPr>
          <w:rFonts w:ascii="Times New Roman" w:hAnsi="Times New Roman" w:cs="Times New Roman"/>
          <w:sz w:val="20"/>
          <w:szCs w:val="20"/>
        </w:rPr>
        <w:t xml:space="preserve">Harvey, D. 1993: </w:t>
      </w:r>
      <w:r w:rsidRPr="006B55E3">
        <w:rPr>
          <w:rFonts w:ascii="Times New Roman" w:hAnsi="Times New Roman" w:cs="Times New Roman"/>
          <w:i/>
          <w:sz w:val="20"/>
          <w:szCs w:val="20"/>
        </w:rPr>
        <w:t>From space to place and</w:t>
      </w:r>
      <w:r w:rsidRPr="006B55E3">
        <w:rPr>
          <w:rFonts w:ascii="Times New Roman" w:hAnsi="Times New Roman" w:cs="Times New Roman"/>
          <w:i/>
          <w:sz w:val="20"/>
          <w:szCs w:val="20"/>
        </w:rPr>
        <w:t xml:space="preserve"> back again: Reflections on the </w:t>
      </w:r>
      <w:r w:rsidRPr="006B55E3">
        <w:rPr>
          <w:rFonts w:ascii="Times New Roman" w:hAnsi="Times New Roman" w:cs="Times New Roman"/>
          <w:i/>
          <w:sz w:val="20"/>
          <w:szCs w:val="20"/>
        </w:rPr>
        <w:t>condition of postmodernity</w:t>
      </w:r>
      <w:r w:rsidRPr="006B55E3">
        <w:rPr>
          <w:rFonts w:ascii="Times New Roman" w:hAnsi="Times New Roman" w:cs="Times New Roman"/>
          <w:sz w:val="20"/>
          <w:szCs w:val="20"/>
        </w:rPr>
        <w:t xml:space="preserve">. In: Bird, J., Curtis, B., Putnam, T., Robertson, G. and </w:t>
      </w:r>
      <w:proofErr w:type="spellStart"/>
      <w:r w:rsidRPr="006B55E3">
        <w:rPr>
          <w:rFonts w:ascii="Times New Roman" w:hAnsi="Times New Roman" w:cs="Times New Roman"/>
          <w:sz w:val="20"/>
          <w:szCs w:val="20"/>
        </w:rPr>
        <w:t>Tickner</w:t>
      </w:r>
      <w:proofErr w:type="spellEnd"/>
      <w:r w:rsidRPr="006B55E3">
        <w:rPr>
          <w:rFonts w:ascii="Times New Roman" w:hAnsi="Times New Roman" w:cs="Times New Roman"/>
          <w:sz w:val="20"/>
          <w:szCs w:val="20"/>
        </w:rPr>
        <w:t xml:space="preserve">, L. (eds.): </w:t>
      </w:r>
      <w:r w:rsidRPr="006B55E3">
        <w:rPr>
          <w:rFonts w:ascii="Times New Roman" w:hAnsi="Times New Roman" w:cs="Times New Roman"/>
          <w:i/>
          <w:sz w:val="20"/>
          <w:szCs w:val="20"/>
        </w:rPr>
        <w:t>Mapping the Futures. Local cultures, global changes.</w:t>
      </w:r>
      <w:r w:rsidRPr="006B55E3">
        <w:rPr>
          <w:rFonts w:ascii="Times New Roman" w:hAnsi="Times New Roman" w:cs="Times New Roman"/>
          <w:sz w:val="20"/>
          <w:szCs w:val="20"/>
        </w:rPr>
        <w:t xml:space="preserve"> London: Routledge, pp. 2-29</w:t>
      </w:r>
    </w:p>
    <w:p w:rsidR="00901DF0" w:rsidRPr="006B55E3" w:rsidRDefault="00901DF0" w:rsidP="006B55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01DF0" w:rsidRPr="006B55E3" w:rsidRDefault="00901DF0" w:rsidP="006B55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B55E3">
        <w:rPr>
          <w:rFonts w:ascii="Times New Roman" w:hAnsi="Times New Roman" w:cs="Times New Roman"/>
          <w:sz w:val="20"/>
          <w:szCs w:val="20"/>
        </w:rPr>
        <w:t xml:space="preserve">Harvey, D. 2006: </w:t>
      </w:r>
      <w:r w:rsidRPr="006B55E3">
        <w:rPr>
          <w:rFonts w:ascii="Times New Roman" w:hAnsi="Times New Roman" w:cs="Times New Roman"/>
          <w:i/>
          <w:sz w:val="20"/>
          <w:szCs w:val="20"/>
        </w:rPr>
        <w:t>Spaces of Global Capitalism. Towards a Theory of Uneven Geographical Development.</w:t>
      </w:r>
      <w:r w:rsidRPr="006B55E3">
        <w:rPr>
          <w:rFonts w:ascii="Times New Roman" w:hAnsi="Times New Roman" w:cs="Times New Roman"/>
          <w:sz w:val="20"/>
          <w:szCs w:val="20"/>
        </w:rPr>
        <w:t xml:space="preserve"> London: Verso</w:t>
      </w:r>
    </w:p>
    <w:p w:rsidR="00901DF0" w:rsidRPr="006B55E3" w:rsidRDefault="00901DF0" w:rsidP="006B55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01DF0" w:rsidRPr="006B55E3" w:rsidRDefault="00901DF0" w:rsidP="006B55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B55E3">
        <w:rPr>
          <w:rFonts w:ascii="Times New Roman" w:hAnsi="Times New Roman" w:cs="Times New Roman"/>
          <w:sz w:val="20"/>
          <w:szCs w:val="20"/>
        </w:rPr>
        <w:t xml:space="preserve">Lefebvre, H. 1991 [1974]: </w:t>
      </w:r>
      <w:r w:rsidRPr="006B55E3">
        <w:rPr>
          <w:rFonts w:ascii="Times New Roman" w:hAnsi="Times New Roman" w:cs="Times New Roman"/>
          <w:i/>
          <w:sz w:val="20"/>
          <w:szCs w:val="20"/>
        </w:rPr>
        <w:t>The Production of Space</w:t>
      </w:r>
      <w:r w:rsidRPr="006B55E3">
        <w:rPr>
          <w:rFonts w:ascii="Times New Roman" w:hAnsi="Times New Roman" w:cs="Times New Roman"/>
          <w:sz w:val="20"/>
          <w:szCs w:val="20"/>
        </w:rPr>
        <w:t>. Oxford: Blackwell</w:t>
      </w:r>
    </w:p>
    <w:p w:rsidR="00901DF0" w:rsidRPr="006B55E3" w:rsidRDefault="00901DF0" w:rsidP="006B55E3">
      <w:pPr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</w:p>
    <w:p w:rsidR="00901DF0" w:rsidRPr="006B55E3" w:rsidRDefault="00901DF0" w:rsidP="006B55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B55E3">
        <w:rPr>
          <w:rFonts w:ascii="Times New Roman" w:hAnsi="Times New Roman" w:cs="Times New Roman"/>
          <w:sz w:val="20"/>
          <w:szCs w:val="20"/>
          <w:highlight w:val="white"/>
        </w:rPr>
        <w:t xml:space="preserve">Scott, J. C. 2009: </w:t>
      </w:r>
      <w:r w:rsidRPr="006B55E3">
        <w:rPr>
          <w:rFonts w:ascii="Times New Roman" w:hAnsi="Times New Roman" w:cs="Times New Roman"/>
          <w:i/>
          <w:sz w:val="20"/>
          <w:szCs w:val="20"/>
          <w:highlight w:val="white"/>
        </w:rPr>
        <w:t>The Art of Not Being Governed. An Anarchist History of Upland Southeast Asia</w:t>
      </w:r>
      <w:r w:rsidRPr="006B55E3">
        <w:rPr>
          <w:rFonts w:ascii="Times New Roman" w:hAnsi="Times New Roman" w:cs="Times New Roman"/>
          <w:sz w:val="20"/>
          <w:szCs w:val="20"/>
          <w:highlight w:val="white"/>
        </w:rPr>
        <w:t>. New Haven, CT: Yale University Press</w:t>
      </w:r>
    </w:p>
    <w:p w:rsidR="00901DF0" w:rsidRPr="006B55E3" w:rsidRDefault="00901DF0" w:rsidP="006B55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20E1" w:rsidRPr="006B55E3" w:rsidRDefault="00901DF0" w:rsidP="006B55E3">
      <w:pPr>
        <w:spacing w:line="240" w:lineRule="auto"/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</w:pPr>
      <w:r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 xml:space="preserve">Smith, N. 1993: </w:t>
      </w:r>
      <w:r w:rsidRPr="006B55E3">
        <w:rPr>
          <w:rFonts w:ascii="Times New Roman" w:eastAsia="Verdana" w:hAnsi="Times New Roman" w:cs="Times New Roman"/>
          <w:i/>
          <w:color w:val="333333"/>
          <w:sz w:val="20"/>
          <w:szCs w:val="20"/>
          <w:highlight w:val="white"/>
        </w:rPr>
        <w:t>Homeless/global: Scaling places</w:t>
      </w:r>
      <w:r w:rsidRPr="006B55E3">
        <w:rPr>
          <w:rFonts w:ascii="Times New Roman" w:eastAsia="Verdana" w:hAnsi="Times New Roman" w:cs="Times New Roman"/>
          <w:color w:val="333333"/>
          <w:sz w:val="20"/>
          <w:szCs w:val="20"/>
          <w:highlight w:val="white"/>
        </w:rPr>
        <w:t xml:space="preserve">. </w:t>
      </w:r>
      <w:r w:rsidRPr="006B55E3">
        <w:rPr>
          <w:rFonts w:ascii="Times New Roman" w:hAnsi="Times New Roman" w:cs="Times New Roman"/>
          <w:sz w:val="20"/>
          <w:szCs w:val="20"/>
        </w:rPr>
        <w:t xml:space="preserve">In: Bird, J., Curtis, B., Putnam, T., Robertson, G. and </w:t>
      </w:r>
      <w:proofErr w:type="spellStart"/>
      <w:r w:rsidRPr="006B55E3">
        <w:rPr>
          <w:rFonts w:ascii="Times New Roman" w:hAnsi="Times New Roman" w:cs="Times New Roman"/>
          <w:sz w:val="20"/>
          <w:szCs w:val="20"/>
        </w:rPr>
        <w:t>Tickner</w:t>
      </w:r>
      <w:proofErr w:type="spellEnd"/>
      <w:r w:rsidRPr="006B55E3">
        <w:rPr>
          <w:rFonts w:ascii="Times New Roman" w:hAnsi="Times New Roman" w:cs="Times New Roman"/>
          <w:sz w:val="20"/>
          <w:szCs w:val="20"/>
        </w:rPr>
        <w:t xml:space="preserve">, L. (eds.): </w:t>
      </w:r>
      <w:r w:rsidRPr="006B55E3">
        <w:rPr>
          <w:rFonts w:ascii="Times New Roman" w:hAnsi="Times New Roman" w:cs="Times New Roman"/>
          <w:i/>
          <w:sz w:val="20"/>
          <w:szCs w:val="20"/>
        </w:rPr>
        <w:t>Mapping the Futures. Local cultures, global changes</w:t>
      </w:r>
      <w:r w:rsidRPr="006B55E3">
        <w:rPr>
          <w:rFonts w:ascii="Times New Roman" w:hAnsi="Times New Roman" w:cs="Times New Roman"/>
          <w:sz w:val="20"/>
          <w:szCs w:val="20"/>
        </w:rPr>
        <w:t>. London: Routledge, pp.</w:t>
      </w:r>
      <w:r w:rsidRPr="006B55E3">
        <w:rPr>
          <w:rFonts w:ascii="Times New Roman" w:hAnsi="Times New Roman" w:cs="Times New Roman"/>
          <w:sz w:val="20"/>
          <w:szCs w:val="20"/>
        </w:rPr>
        <w:t xml:space="preserve"> 87-120</w:t>
      </w:r>
    </w:p>
    <w:p w:rsidR="00901DF0" w:rsidRPr="006B55E3" w:rsidRDefault="00901DF0" w:rsidP="006B55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01DF0" w:rsidRPr="006B55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0D9F">
      <w:pPr>
        <w:spacing w:line="240" w:lineRule="auto"/>
      </w:pPr>
      <w:r>
        <w:separator/>
      </w:r>
    </w:p>
  </w:endnote>
  <w:endnote w:type="continuationSeparator" w:id="0">
    <w:p w:rsidR="00000000" w:rsidRDefault="00490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0D9F">
      <w:pPr>
        <w:spacing w:line="240" w:lineRule="auto"/>
      </w:pPr>
      <w:r>
        <w:separator/>
      </w:r>
    </w:p>
  </w:footnote>
  <w:footnote w:type="continuationSeparator" w:id="0">
    <w:p w:rsidR="00000000" w:rsidRDefault="00490D9F">
      <w:pPr>
        <w:spacing w:line="240" w:lineRule="auto"/>
      </w:pPr>
      <w:r>
        <w:continuationSeparator/>
      </w:r>
    </w:p>
  </w:footnote>
  <w:footnote w:id="1">
    <w:p w:rsidR="00320867" w:rsidRPr="008920E1" w:rsidRDefault="00490D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20E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920E1">
        <w:rPr>
          <w:rFonts w:ascii="Times New Roman" w:eastAsia="Times New Roman" w:hAnsi="Times New Roman" w:cs="Times New Roman"/>
          <w:sz w:val="20"/>
          <w:szCs w:val="20"/>
        </w:rPr>
        <w:t xml:space="preserve"> Hence, it would be a mistake to see space in isolation. There is, I would even argue, a tendency in ‘Western’ and statist societies to separate and isolate spheres (just think about the ‘different’ subjects in the social sciences you can study at univ</w:t>
      </w:r>
      <w:r w:rsidRPr="008920E1">
        <w:rPr>
          <w:rFonts w:ascii="Times New Roman" w:eastAsia="Times New Roman" w:hAnsi="Times New Roman" w:cs="Times New Roman"/>
          <w:sz w:val="20"/>
          <w:szCs w:val="20"/>
        </w:rPr>
        <w:t>ersity), instead of seeing, for instance, how the political, the economic and the social mutually influence and also constitute each other (see also Harvey 1993: 3)</w:t>
      </w:r>
    </w:p>
  </w:footnote>
  <w:footnote w:id="2">
    <w:p w:rsidR="00320867" w:rsidRDefault="00490D9F">
      <w:pPr>
        <w:spacing w:line="240" w:lineRule="auto"/>
      </w:pPr>
      <w:r w:rsidRPr="008920E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920E1">
        <w:rPr>
          <w:rFonts w:ascii="Times New Roman" w:eastAsia="Times New Roman" w:hAnsi="Times New Roman" w:cs="Times New Roman"/>
          <w:sz w:val="20"/>
          <w:szCs w:val="20"/>
        </w:rPr>
        <w:t xml:space="preserve"> At this point I am actually wondering what Harvey’s and Smith’s position regarding a worl</w:t>
      </w:r>
      <w:r w:rsidRPr="008920E1">
        <w:rPr>
          <w:rFonts w:ascii="Times New Roman" w:eastAsia="Times New Roman" w:hAnsi="Times New Roman" w:cs="Times New Roman"/>
          <w:sz w:val="20"/>
          <w:szCs w:val="20"/>
        </w:rPr>
        <w:t>d-system(s) approach is since they seem to suggest a global division of labour but continue to use a Eurocentric idea of capitalism (Harvey 1993: 6; Smith 1993: 112)</w:t>
      </w:r>
    </w:p>
  </w:footnote>
  <w:footnote w:id="3">
    <w:p w:rsidR="000A01BE" w:rsidRPr="008920E1" w:rsidRDefault="00490D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20E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0A01BE">
        <w:rPr>
          <w:rFonts w:ascii="Times New Roman" w:hAnsi="Times New Roman" w:cs="Times New Roman"/>
          <w:sz w:val="20"/>
          <w:szCs w:val="20"/>
        </w:rPr>
        <w:t xml:space="preserve"> An introduction regarding </w:t>
      </w:r>
      <w:proofErr w:type="spellStart"/>
      <w:r w:rsidR="000A01BE">
        <w:rPr>
          <w:rFonts w:ascii="Times New Roman" w:hAnsi="Times New Roman" w:cs="Times New Roman"/>
          <w:sz w:val="20"/>
          <w:szCs w:val="20"/>
        </w:rPr>
        <w:t>Rojava’s</w:t>
      </w:r>
      <w:proofErr w:type="spellEnd"/>
      <w:r w:rsidR="000A01BE">
        <w:rPr>
          <w:rFonts w:ascii="Times New Roman" w:hAnsi="Times New Roman" w:cs="Times New Roman"/>
          <w:sz w:val="20"/>
          <w:szCs w:val="20"/>
        </w:rPr>
        <w:t xml:space="preserve"> social experiment, Anarchist influences, and the re-imagination and redefinition of goals for the Kurdish struggle in Northern Syria can be found here: </w:t>
      </w:r>
      <w:hyperlink r:id="rId1" w:history="1">
        <w:r w:rsidR="000A01BE" w:rsidRPr="00CC3C80">
          <w:rPr>
            <w:rStyle w:val="Hyperlink"/>
            <w:rFonts w:ascii="Times New Roman" w:hAnsi="Times New Roman" w:cs="Times New Roman"/>
            <w:sz w:val="20"/>
            <w:szCs w:val="20"/>
          </w:rPr>
          <w:t>http://www.huffingtonpost.com/entry/syrian-kurds-murray-bookchin_us_5655e7e2e4b079b28189e3df</w:t>
        </w:r>
      </w:hyperlink>
    </w:p>
  </w:footnote>
  <w:footnote w:id="4">
    <w:p w:rsidR="00320867" w:rsidRDefault="00490D9F">
      <w:pPr>
        <w:spacing w:line="240" w:lineRule="auto"/>
      </w:pPr>
      <w:r w:rsidRPr="008920E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920E1">
        <w:rPr>
          <w:rFonts w:ascii="Times New Roman" w:hAnsi="Times New Roman" w:cs="Times New Roman"/>
          <w:sz w:val="20"/>
          <w:szCs w:val="20"/>
        </w:rPr>
        <w:t xml:space="preserve"> By genuine I mean an approach that fundamen</w:t>
      </w:r>
      <w:r w:rsidRPr="008920E1">
        <w:rPr>
          <w:rFonts w:ascii="Times New Roman" w:hAnsi="Times New Roman" w:cs="Times New Roman"/>
          <w:sz w:val="20"/>
          <w:szCs w:val="20"/>
        </w:rPr>
        <w:t>tally differs from Harvey’s description of a ‘collapse of spatial barriers’ (1993: 3-4) which he seems to connect with a Eurocentric idea of globalisation. It could also be interpreted as a problem that Harvey does not recognise his privilege since barrier</w:t>
      </w:r>
      <w:r w:rsidRPr="008920E1">
        <w:rPr>
          <w:rFonts w:ascii="Times New Roman" w:hAnsi="Times New Roman" w:cs="Times New Roman"/>
          <w:sz w:val="20"/>
          <w:szCs w:val="20"/>
        </w:rPr>
        <w:t>s, boundaries and borders are a brutal reality for a great part of the world’s population. Smith, on the other hand</w:t>
      </w:r>
      <w:r w:rsidR="00ED3CBE">
        <w:rPr>
          <w:rFonts w:ascii="Times New Roman" w:hAnsi="Times New Roman" w:cs="Times New Roman"/>
          <w:sz w:val="20"/>
          <w:szCs w:val="20"/>
        </w:rPr>
        <w:t>,</w:t>
      </w:r>
      <w:r w:rsidRPr="008920E1">
        <w:rPr>
          <w:rFonts w:ascii="Times New Roman" w:hAnsi="Times New Roman" w:cs="Times New Roman"/>
          <w:sz w:val="20"/>
          <w:szCs w:val="20"/>
        </w:rPr>
        <w:t xml:space="preserve"> explicitly states that ‘it is not just that the rich express their freedom by their ability to overcome space while the poor are more likely</w:t>
      </w:r>
      <w:r w:rsidRPr="008920E1">
        <w:rPr>
          <w:rFonts w:ascii="Times New Roman" w:hAnsi="Times New Roman" w:cs="Times New Roman"/>
          <w:sz w:val="20"/>
          <w:szCs w:val="20"/>
        </w:rPr>
        <w:t xml:space="preserve"> to be trapped in space; differential access to space leads to differential power in constructing the spatial scale of daily, weekly and seasonal life’ (1993: 106).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867"/>
    <w:rsid w:val="000A01BE"/>
    <w:rsid w:val="000F0F09"/>
    <w:rsid w:val="00320867"/>
    <w:rsid w:val="00330435"/>
    <w:rsid w:val="00490D9F"/>
    <w:rsid w:val="00493AB8"/>
    <w:rsid w:val="00594886"/>
    <w:rsid w:val="0063185B"/>
    <w:rsid w:val="006B55E3"/>
    <w:rsid w:val="007D272F"/>
    <w:rsid w:val="008920E1"/>
    <w:rsid w:val="00901DF0"/>
    <w:rsid w:val="009353AE"/>
    <w:rsid w:val="00B627DF"/>
    <w:rsid w:val="00C46E2B"/>
    <w:rsid w:val="00CA3121"/>
    <w:rsid w:val="00E906B6"/>
    <w:rsid w:val="00ED3CBE"/>
    <w:rsid w:val="00F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FF557-76CC-454A-A5F2-7CDD1FE7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A01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WgPWL7hT7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ffingtonpost.com/entry/syrian-kurds-murray-bookchin_us_5655e7e2e4b079b28189e3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Arthur Eirich</cp:lastModifiedBy>
  <cp:revision>16</cp:revision>
  <dcterms:created xsi:type="dcterms:W3CDTF">2016-01-25T00:54:00Z</dcterms:created>
  <dcterms:modified xsi:type="dcterms:W3CDTF">2016-01-25T01:32:00Z</dcterms:modified>
</cp:coreProperties>
</file>