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354F" w14:textId="77777777" w:rsidR="00440761" w:rsidRPr="00E9174C" w:rsidRDefault="00174F0C">
      <w:pPr>
        <w:rPr>
          <w:rFonts w:ascii="Arial Narrow" w:hAnsi="Arial Narrow"/>
          <w:u w:val="single"/>
        </w:rPr>
      </w:pPr>
      <w:r w:rsidRPr="00E9174C">
        <w:rPr>
          <w:rFonts w:ascii="Arial Narrow" w:hAnsi="Arial Narrow"/>
          <w:u w:val="single"/>
        </w:rPr>
        <w:t xml:space="preserve">Space Place Power, Week 4 Response  </w:t>
      </w:r>
    </w:p>
    <w:p w14:paraId="70D4EC71" w14:textId="77777777" w:rsidR="00174F0C" w:rsidRPr="00E9174C" w:rsidRDefault="00174F0C">
      <w:pPr>
        <w:rPr>
          <w:rFonts w:ascii="Arial Narrow" w:hAnsi="Arial Narrow"/>
        </w:rPr>
      </w:pPr>
    </w:p>
    <w:p w14:paraId="337F959A" w14:textId="77777777" w:rsidR="00174F0C" w:rsidRPr="00E9174C" w:rsidRDefault="00174F0C">
      <w:pPr>
        <w:rPr>
          <w:rFonts w:ascii="Arial Narrow" w:hAnsi="Arial Narrow"/>
        </w:rPr>
      </w:pPr>
      <w:r w:rsidRPr="00E9174C">
        <w:rPr>
          <w:rFonts w:ascii="Arial Narrow" w:hAnsi="Arial Narrow"/>
        </w:rPr>
        <w:t xml:space="preserve">If the understanding of space is to have any “real world significance”(183 </w:t>
      </w:r>
      <w:proofErr w:type="spellStart"/>
      <w:r w:rsidRPr="00E9174C">
        <w:rPr>
          <w:rFonts w:ascii="Arial Narrow" w:hAnsi="Arial Narrow"/>
        </w:rPr>
        <w:t>Sopranzetti</w:t>
      </w:r>
      <w:proofErr w:type="spellEnd"/>
      <w:r w:rsidRPr="00E9174C">
        <w:rPr>
          <w:rFonts w:ascii="Arial Narrow" w:hAnsi="Arial Narrow"/>
        </w:rPr>
        <w:t xml:space="preserve">), it must first be described in the realm of everyday life. The theoretical notion of how space can be understood is therefore shallow if it cannot be applied to any examples that describe what space means to people. This is where the crucial intertwining of theory and practice must occur in reconciling the political economic and phenomenological analyses. Indeed, the failure to attempt this renders the objectives of research irrelevant. </w:t>
      </w:r>
    </w:p>
    <w:p w14:paraId="409AF3CF" w14:textId="77777777" w:rsidR="00174F0C" w:rsidRPr="00E9174C" w:rsidRDefault="00174F0C">
      <w:pPr>
        <w:rPr>
          <w:rFonts w:ascii="Arial Narrow" w:hAnsi="Arial Narrow"/>
        </w:rPr>
      </w:pPr>
    </w:p>
    <w:p w14:paraId="13883540" w14:textId="77777777" w:rsidR="00031DB2" w:rsidRPr="00E9174C" w:rsidRDefault="00174F0C">
      <w:pPr>
        <w:rPr>
          <w:rFonts w:ascii="Arial Narrow" w:hAnsi="Arial Narrow"/>
        </w:rPr>
      </w:pPr>
      <w:r w:rsidRPr="00E9174C">
        <w:rPr>
          <w:rFonts w:ascii="Arial Narrow" w:hAnsi="Arial Narrow"/>
        </w:rPr>
        <w:t xml:space="preserve">The non-static nature of how theory and practice and political-economic and phenomenological approaches interact is especially interesting in this respect. Space exists, whether in a physical or conceptual form, however it is when it is navigated that the theoretical approaches are enlivened. </w:t>
      </w:r>
      <w:r w:rsidR="00E81FF8" w:rsidRPr="00E9174C">
        <w:rPr>
          <w:rFonts w:ascii="Arial Narrow" w:hAnsi="Arial Narrow"/>
        </w:rPr>
        <w:t>The multitudinous orientations of the world we live in are productive and conducive of differing political and economic phenomena. However, in this ever changing symbiosis it is illumina</w:t>
      </w:r>
      <w:r w:rsidR="0041582A" w:rsidRPr="00E9174C">
        <w:rPr>
          <w:rFonts w:ascii="Arial Narrow" w:hAnsi="Arial Narrow"/>
        </w:rPr>
        <w:t>ting to attempt to extricate the ways in which</w:t>
      </w:r>
      <w:r w:rsidR="00E81FF8" w:rsidRPr="00E9174C">
        <w:rPr>
          <w:rFonts w:ascii="Arial Narrow" w:hAnsi="Arial Narrow"/>
        </w:rPr>
        <w:t xml:space="preserve"> they interrelate and the</w:t>
      </w:r>
      <w:r w:rsidR="0041582A" w:rsidRPr="00E9174C">
        <w:rPr>
          <w:rFonts w:ascii="Arial Narrow" w:hAnsi="Arial Narrow"/>
        </w:rPr>
        <w:t xml:space="preserve"> flux-like nature of their co-constitution. Is thought producing action and vice versa, a continuous process, and how can we identify which one is </w:t>
      </w:r>
      <w:proofErr w:type="gramStart"/>
      <w:r w:rsidR="0041582A" w:rsidRPr="00E9174C">
        <w:rPr>
          <w:rFonts w:ascii="Arial Narrow" w:hAnsi="Arial Narrow"/>
        </w:rPr>
        <w:t>constituting</w:t>
      </w:r>
      <w:proofErr w:type="gramEnd"/>
      <w:r w:rsidR="0041582A" w:rsidRPr="00E9174C">
        <w:rPr>
          <w:rFonts w:ascii="Arial Narrow" w:hAnsi="Arial Narrow"/>
        </w:rPr>
        <w:t xml:space="preserve"> the other, in a real world situation. The architect Ole </w:t>
      </w:r>
      <w:proofErr w:type="spellStart"/>
      <w:r w:rsidR="0041582A" w:rsidRPr="00E9174C">
        <w:rPr>
          <w:rFonts w:ascii="Arial Narrow" w:hAnsi="Arial Narrow"/>
        </w:rPr>
        <w:t>Scheeren’s</w:t>
      </w:r>
      <w:proofErr w:type="spellEnd"/>
      <w:r w:rsidR="0041582A" w:rsidRPr="00E9174C">
        <w:rPr>
          <w:rFonts w:ascii="Arial Narrow" w:hAnsi="Arial Narrow"/>
        </w:rPr>
        <w:t xml:space="preserve"> argument is useful in this question in his attempt to move on from the “form follows function” manifesto postulated by modernist utilitarianism. He instead physicalizes Bernard </w:t>
      </w:r>
      <w:proofErr w:type="spellStart"/>
      <w:r w:rsidR="0041582A" w:rsidRPr="00E9174C">
        <w:rPr>
          <w:rFonts w:ascii="Arial Narrow" w:hAnsi="Arial Narrow"/>
        </w:rPr>
        <w:t>Tschumi’s</w:t>
      </w:r>
      <w:proofErr w:type="spellEnd"/>
      <w:r w:rsidR="0041582A" w:rsidRPr="00E9174C">
        <w:rPr>
          <w:rFonts w:ascii="Arial Narrow" w:hAnsi="Arial Narrow"/>
        </w:rPr>
        <w:t xml:space="preserve"> notion of “form follows fiction”, in his attempt to create </w:t>
      </w:r>
      <w:proofErr w:type="gramStart"/>
      <w:r w:rsidR="0041582A" w:rsidRPr="00E9174C">
        <w:rPr>
          <w:rFonts w:ascii="Arial Narrow" w:hAnsi="Arial Narrow"/>
        </w:rPr>
        <w:t>buildings which</w:t>
      </w:r>
      <w:proofErr w:type="gramEnd"/>
      <w:r w:rsidR="0041582A" w:rsidRPr="00E9174C">
        <w:rPr>
          <w:rFonts w:ascii="Arial Narrow" w:hAnsi="Arial Narrow"/>
        </w:rPr>
        <w:t xml:space="preserve"> imagine the different narrative pathways of people in spaces. </w:t>
      </w:r>
      <w:proofErr w:type="spellStart"/>
      <w:r w:rsidR="0041582A" w:rsidRPr="00E9174C">
        <w:rPr>
          <w:rFonts w:ascii="Arial Narrow" w:hAnsi="Arial Narrow"/>
        </w:rPr>
        <w:t>Scheeren</w:t>
      </w:r>
      <w:proofErr w:type="spellEnd"/>
      <w:r w:rsidR="0041582A" w:rsidRPr="00E9174C">
        <w:rPr>
          <w:rFonts w:ascii="Arial Narrow" w:hAnsi="Arial Narrow"/>
        </w:rPr>
        <w:t xml:space="preserve"> argues that the conceptual structure of capitalism is embodied in the organizational structure of hierarchical skyscrapers. Employees with the highest salaries occupy the highest offices, in a </w:t>
      </w:r>
      <w:r w:rsidR="00031DB2" w:rsidRPr="00E9174C">
        <w:rPr>
          <w:rFonts w:ascii="Arial Narrow" w:hAnsi="Arial Narrow"/>
        </w:rPr>
        <w:t xml:space="preserve">mode of “structural thinking”. </w:t>
      </w:r>
      <w:r w:rsidR="0041582A" w:rsidRPr="00E9174C">
        <w:rPr>
          <w:rFonts w:ascii="Arial Narrow" w:hAnsi="Arial Narrow"/>
        </w:rPr>
        <w:t>Political relations, just as with the highly physically and conceptually mobile “</w:t>
      </w:r>
      <w:proofErr w:type="spellStart"/>
      <w:r w:rsidR="0041582A" w:rsidRPr="00E9174C">
        <w:rPr>
          <w:rFonts w:ascii="Arial Narrow" w:hAnsi="Arial Narrow"/>
        </w:rPr>
        <w:t>entrepreneuralization</w:t>
      </w:r>
      <w:proofErr w:type="spellEnd"/>
      <w:r w:rsidR="0041582A" w:rsidRPr="00E9174C">
        <w:rPr>
          <w:rFonts w:ascii="Arial Narrow" w:hAnsi="Arial Narrow"/>
        </w:rPr>
        <w:t xml:space="preserve">” of the motorcycle taxis are embodied in the activities and navigations of their everyday life. </w:t>
      </w:r>
      <w:r w:rsidR="00031DB2" w:rsidRPr="00E9174C">
        <w:rPr>
          <w:rFonts w:ascii="Arial Narrow" w:hAnsi="Arial Narrow"/>
        </w:rPr>
        <w:t xml:space="preserve"> Is attempting to separate and see which led to the other therefore</w:t>
      </w:r>
      <w:r w:rsidR="00E9174C" w:rsidRPr="00E9174C">
        <w:rPr>
          <w:rFonts w:ascii="Arial Narrow" w:hAnsi="Arial Narrow"/>
        </w:rPr>
        <w:t xml:space="preserve"> a less enlightening</w:t>
      </w:r>
      <w:r w:rsidR="00031DB2" w:rsidRPr="00E9174C">
        <w:rPr>
          <w:rFonts w:ascii="Arial Narrow" w:hAnsi="Arial Narrow"/>
        </w:rPr>
        <w:t xml:space="preserve"> endeavor? </w:t>
      </w:r>
    </w:p>
    <w:p w14:paraId="6B6FA50D" w14:textId="77777777" w:rsidR="00031DB2" w:rsidRPr="00E9174C" w:rsidRDefault="00031DB2">
      <w:pPr>
        <w:rPr>
          <w:rFonts w:ascii="Arial Narrow" w:hAnsi="Arial Narrow"/>
        </w:rPr>
      </w:pPr>
    </w:p>
    <w:p w14:paraId="351BC488" w14:textId="77777777" w:rsidR="00031DB2" w:rsidRPr="00E9174C" w:rsidRDefault="00031DB2">
      <w:pPr>
        <w:rPr>
          <w:rFonts w:ascii="Arial Narrow" w:hAnsi="Arial Narrow"/>
        </w:rPr>
      </w:pPr>
      <w:r w:rsidRPr="00E9174C">
        <w:rPr>
          <w:rFonts w:ascii="Arial Narrow" w:hAnsi="Arial Narrow"/>
        </w:rPr>
        <w:t xml:space="preserve">Rather than a search for origins, I argue that a historicized attempt to consider the myriad ways through which concept and practice co-constitute is more revealing.  </w:t>
      </w:r>
      <w:proofErr w:type="spellStart"/>
      <w:r w:rsidRPr="00E9174C">
        <w:rPr>
          <w:rFonts w:ascii="Arial Narrow" w:hAnsi="Arial Narrow"/>
        </w:rPr>
        <w:t>Elyachar</w:t>
      </w:r>
      <w:proofErr w:type="spellEnd"/>
      <w:r w:rsidRPr="00E9174C">
        <w:rPr>
          <w:rFonts w:ascii="Arial Narrow" w:hAnsi="Arial Narrow"/>
        </w:rPr>
        <w:t xml:space="preserve"> considers this co-constellation in the consideration of the economic routes are navigated and connected by urban mobility. Similarly, in Daniel Miller’s consideration of mass goods, he argues that they are representative of culture in the environments within which they operate and their role in the “process of objectification by which we create as an industrial society: our identities, our social affiliation, our lived everyday practices”</w:t>
      </w:r>
      <w:r w:rsidR="00E9174C">
        <w:rPr>
          <w:rFonts w:ascii="Arial Narrow" w:hAnsi="Arial Narrow"/>
        </w:rPr>
        <w:t>(Miller, 1987, 215)</w:t>
      </w:r>
      <w:r w:rsidRPr="00E9174C">
        <w:rPr>
          <w:rFonts w:ascii="Arial Narrow" w:hAnsi="Arial Narrow"/>
        </w:rPr>
        <w:t xml:space="preserve">. </w:t>
      </w:r>
    </w:p>
    <w:p w14:paraId="054F62F6" w14:textId="77777777" w:rsidR="00E9174C" w:rsidRPr="00E9174C" w:rsidRDefault="00E9174C">
      <w:pPr>
        <w:rPr>
          <w:rFonts w:ascii="Arial Narrow" w:hAnsi="Arial Narrow"/>
        </w:rPr>
      </w:pPr>
    </w:p>
    <w:p w14:paraId="51942AC4" w14:textId="77777777" w:rsidR="00E9174C" w:rsidRPr="00E9174C" w:rsidRDefault="00E9174C" w:rsidP="00E9174C">
      <w:pPr>
        <w:rPr>
          <w:rFonts w:ascii="Arial Narrow" w:eastAsia="Times New Roman" w:hAnsi="Arial Narrow" w:cs="Times New Roman"/>
          <w:lang w:val="en-GB"/>
        </w:rPr>
      </w:pPr>
      <w:r w:rsidRPr="00E9174C">
        <w:rPr>
          <w:rFonts w:ascii="Arial Narrow" w:hAnsi="Arial Narrow"/>
        </w:rPr>
        <w:t>However, as Lefebvre states, the “everyday” nature of these practices and their reoccurrence does not contain them to repetition. They are not immobile navigations of space but are instead continually readjusting renegotiations both conceptually and practically. In this way the “</w:t>
      </w:r>
      <w:r w:rsidRPr="00E9174C">
        <w:rPr>
          <w:rFonts w:ascii="Arial Narrow" w:eastAsia="Times New Roman" w:hAnsi="Arial Narrow" w:cs="Times New Roman"/>
          <w:lang w:val="en-GB"/>
        </w:rPr>
        <w:t>phenomenological experience of the drivers and their perception of the city conformed and challenged their political-economic position while structuring their consciousness as human beings, migrant men, and political actors”</w:t>
      </w:r>
      <w:r>
        <w:rPr>
          <w:rFonts w:ascii="Arial Narrow" w:eastAsia="Times New Roman" w:hAnsi="Arial Narrow" w:cs="Times New Roman"/>
          <w:lang w:val="en-GB"/>
        </w:rPr>
        <w:t xml:space="preserve"> </w:t>
      </w:r>
      <w:r>
        <w:rPr>
          <w:rFonts w:ascii="Arial Narrow" w:hAnsi="Arial Narrow"/>
        </w:rPr>
        <w:t xml:space="preserve">(181 </w:t>
      </w:r>
      <w:proofErr w:type="spellStart"/>
      <w:r>
        <w:rPr>
          <w:rFonts w:ascii="Arial Narrow" w:hAnsi="Arial Narrow"/>
        </w:rPr>
        <w:t>Sopranzetti</w:t>
      </w:r>
      <w:proofErr w:type="spellEnd"/>
      <w:r>
        <w:rPr>
          <w:rFonts w:ascii="Arial Narrow" w:hAnsi="Arial Narrow"/>
        </w:rPr>
        <w:t xml:space="preserve">). </w:t>
      </w:r>
      <w:r w:rsidR="007C6396">
        <w:rPr>
          <w:rFonts w:ascii="Arial Narrow" w:hAnsi="Arial Narrow"/>
        </w:rPr>
        <w:t>Similarly,</w:t>
      </w:r>
      <w:r w:rsidR="007C6396">
        <w:rPr>
          <w:rFonts w:ascii="Arial Narrow" w:eastAsia="Times New Roman" w:hAnsi="Arial Narrow" w:cs="Times New Roman"/>
          <w:lang w:val="en-GB"/>
        </w:rPr>
        <w:t xml:space="preserve"> Fanon states, “French colonialism has settled itself in the very centre of the Algerian individual” (65). The combinatory use of phenomenological and political economic approaches engrave the discipline of anthropology into real-world applicability. This encapsulates the “so what” justification for exploring the reality of how peoples lives are lived in differing environments. By doing so we can better understand and orient the</w:t>
      </w:r>
      <w:r w:rsidR="009209FF">
        <w:rPr>
          <w:rFonts w:ascii="Arial Narrow" w:eastAsia="Times New Roman" w:hAnsi="Arial Narrow" w:cs="Times New Roman"/>
          <w:lang w:val="en-GB"/>
        </w:rPr>
        <w:t xml:space="preserve"> fascinating</w:t>
      </w:r>
      <w:r w:rsidR="007C6396">
        <w:rPr>
          <w:rFonts w:ascii="Arial Narrow" w:eastAsia="Times New Roman" w:hAnsi="Arial Narrow" w:cs="Times New Roman"/>
          <w:lang w:val="en-GB"/>
        </w:rPr>
        <w:t xml:space="preserve"> complexities of these interactions. </w:t>
      </w:r>
    </w:p>
    <w:p w14:paraId="3C399245" w14:textId="77777777" w:rsidR="00E9174C" w:rsidRDefault="00E9174C"/>
    <w:p w14:paraId="07AD3E95" w14:textId="77777777" w:rsidR="00E81FF8" w:rsidRPr="00E81FF8" w:rsidRDefault="00E81FF8">
      <w:pPr>
        <w:rPr>
          <w:rFonts w:ascii="Arial" w:eastAsia="Times New Roman" w:hAnsi="Arial" w:cs="Arial"/>
          <w:color w:val="000000"/>
          <w:sz w:val="20"/>
          <w:szCs w:val="20"/>
          <w:lang w:val="en-GB"/>
        </w:rPr>
      </w:pPr>
      <w:bookmarkStart w:id="0" w:name="_GoBack"/>
      <w:bookmarkEnd w:id="0"/>
    </w:p>
    <w:sectPr w:rsidR="00E81FF8" w:rsidRPr="00E81FF8" w:rsidSect="004407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C"/>
    <w:rsid w:val="00031DB2"/>
    <w:rsid w:val="00174F0C"/>
    <w:rsid w:val="0041582A"/>
    <w:rsid w:val="00440761"/>
    <w:rsid w:val="007C6396"/>
    <w:rsid w:val="009209FF"/>
    <w:rsid w:val="00E81FF8"/>
    <w:rsid w:val="00E9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75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576</Words>
  <Characters>3286</Characters>
  <Application>Microsoft Macintosh Word</Application>
  <DocSecurity>0</DocSecurity>
  <Lines>27</Lines>
  <Paragraphs>7</Paragraphs>
  <ScaleCrop>false</ScaleCrop>
  <Company>Oxford University</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Timmins</dc:creator>
  <cp:keywords/>
  <dc:description/>
  <cp:lastModifiedBy>Beth Timmins</cp:lastModifiedBy>
  <cp:revision>2</cp:revision>
  <dcterms:created xsi:type="dcterms:W3CDTF">2016-02-08T22:10:00Z</dcterms:created>
  <dcterms:modified xsi:type="dcterms:W3CDTF">2016-02-08T23:16:00Z</dcterms:modified>
</cp:coreProperties>
</file>